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capability related assumptions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RAN2 sent RAN4 a LS [1] asking a question on what the assumption should be for RedCap UEs, e.g. should R15/R16 features be assumed to be supported or not. During RAN4 100-e meeting, this issue was actually discussed and there were some conclusions captured in the WF [2]. Here we copy-paste the conclusions below for reference.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numPr>
                <w:ilvl w:val="0"/>
                <w:numId w:val="0"/>
              </w:numPr>
              <w:ind w:leftChars="0"/>
              <w:rPr>
                <w:lang w:val="en-US"/>
              </w:rPr>
            </w:pPr>
            <w:r>
              <w:rPr>
                <w:rFonts w:hint="eastAsia" w:eastAsia="宋体"/>
                <w:lang w:val="en-US" w:eastAsia="zh-CN"/>
              </w:rPr>
              <w:t xml:space="preserve">2.6 </w:t>
            </w:r>
            <w:r>
              <w:rPr>
                <w:lang w:val="en-US"/>
              </w:rPr>
              <w:t>V2X requirements for Rel-17 RedCap</w:t>
            </w:r>
          </w:p>
          <w:p>
            <w:pPr>
              <w:pStyle w:val="28"/>
              <w:numPr>
                <w:ilvl w:val="1"/>
                <w:numId w:val="6"/>
              </w:numPr>
              <w:overflowPunct/>
              <w:autoSpaceDE/>
              <w:autoSpaceDN/>
              <w:adjustRightInd/>
              <w:spacing w:after="120" w:line="252" w:lineRule="auto"/>
              <w:ind w:firstLineChars="0"/>
              <w:textAlignment w:val="auto"/>
              <w:rPr>
                <w:color w:val="00B050"/>
              </w:rPr>
            </w:pPr>
            <w:r>
              <w:rPr>
                <w:color w:val="0070C0"/>
              </w:rPr>
              <w:t>V2X is not within the scope of RedCap WID. Thus no more discussions are needed on this topic.</w:t>
            </w:r>
          </w:p>
          <w:p>
            <w:pPr>
              <w:spacing w:after="120" w:line="252" w:lineRule="auto"/>
              <w:ind w:left="720"/>
              <w:rPr>
                <w:highlight w:val="green"/>
                <w:lang w:eastAsia="ja-JP"/>
              </w:rPr>
            </w:pPr>
          </w:p>
          <w:p>
            <w:pPr>
              <w:pStyle w:val="3"/>
              <w:numPr>
                <w:ilvl w:val="0"/>
                <w:numId w:val="0"/>
              </w:numPr>
              <w:ind w:leftChars="0"/>
              <w:rPr>
                <w:lang w:val="en-US"/>
              </w:rPr>
            </w:pPr>
            <w:r>
              <w:rPr>
                <w:rFonts w:hint="eastAsia" w:eastAsia="宋体"/>
                <w:lang w:val="en-US" w:eastAsia="zh-CN"/>
              </w:rPr>
              <w:t xml:space="preserve">2.7 </w:t>
            </w:r>
            <w:r>
              <w:rPr>
                <w:lang w:val="en-US"/>
              </w:rPr>
              <w:t>Combination of features</w:t>
            </w:r>
          </w:p>
          <w:p>
            <w:pPr>
              <w:rPr>
                <w:rFonts w:hint="default"/>
                <w:vertAlign w:val="baseline"/>
                <w:lang w:val="en-US" w:eastAsia="zh-CN"/>
              </w:rPr>
            </w:pPr>
            <w:r>
              <w:rPr>
                <w:color w:val="0070C0"/>
              </w:rPr>
              <w:t xml:space="preserve">When discussing possible combinations of Rel-16 features and RedCap, we should by default assume that the features are not applicable and then identify which features (such as R16 CSI-RS based L3 measurement, L1-SINR measurement, SFTD measurement, CGI reading, </w:t>
            </w:r>
            <w:r>
              <w:rPr>
                <w:rFonts w:hint="eastAsia" w:eastAsia="宋体"/>
                <w:color w:val="0070C0"/>
                <w:lang w:val="en-US" w:eastAsia="zh-CN"/>
              </w:rPr>
              <w:t xml:space="preserve">2-step RACH, </w:t>
            </w:r>
            <w:r>
              <w:rPr>
                <w:color w:val="0070C0"/>
              </w:rPr>
              <w:t>and PL-RS change, etc.) can be combined with RedCap case by case based on justification.</w:t>
            </w:r>
          </w:p>
        </w:tc>
      </w:tr>
    </w:tbl>
    <w:p>
      <w:pPr>
        <w:rPr>
          <w:rFonts w:hint="default"/>
          <w:lang w:val="en-US" w:eastAsia="zh-CN"/>
        </w:rPr>
      </w:pP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can be seen clearly in the above content, first of all V2X features are excluded from the scope from RAN4 point of view. This information shall be included in the reply LS to provide proper guidance to RAN2. From the conclusion drawn in Issue 2.7, actually it is clear that RAN4 assumption on this issue is that all feature combinations are assumed not supported unless stated otherwise. And the current status is that no such feature is explicitly supported yet.</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default" w:eastAsia="宋体"/>
          <w:sz w:val="22"/>
          <w:szCs w:val="22"/>
          <w:lang w:val="en-US" w:eastAsia="zh-CN"/>
        </w:rPr>
      </w:pPr>
      <w:r>
        <w:rPr>
          <w:rFonts w:hint="eastAsia" w:eastAsia="宋体"/>
          <w:sz w:val="22"/>
          <w:szCs w:val="22"/>
          <w:lang w:val="en-US" w:eastAsia="zh-CN"/>
        </w:rPr>
        <w:t>Thus, based on the observation on the WF from last meeting, we propose to reply to the RAN2 LS [1] using our previous conclusions.</w:t>
      </w:r>
    </w:p>
    <w:p>
      <w:pPr>
        <w:pStyle w:val="38"/>
        <w:rPr>
          <w:rFonts w:hint="default"/>
          <w:lang w:val="en-US" w:eastAsia="zh-CN"/>
        </w:rPr>
      </w:pPr>
      <w:r>
        <w:rPr>
          <w:rFonts w:hint="eastAsia" w:eastAsia="宋体"/>
          <w:sz w:val="22"/>
          <w:szCs w:val="22"/>
          <w:lang w:val="en-US" w:eastAsia="zh-CN"/>
        </w:rPr>
        <w:t>Reply to the RAN2 LS [1] using our previous conclusions captured in the WF [2].</w:t>
      </w:r>
    </w:p>
    <w:p>
      <w:pPr>
        <w:rPr>
          <w:rFonts w:hint="default"/>
          <w:lang w:val="en-US" w:eastAsia="zh-CN"/>
        </w:rPr>
      </w:pPr>
      <w:r>
        <w:rPr>
          <w:rFonts w:hint="eastAsia" w:eastAsia="宋体"/>
          <w:sz w:val="22"/>
          <w:szCs w:val="22"/>
          <w:lang w:val="en-US" w:eastAsia="zh-CN"/>
        </w:rPr>
        <w:t xml:space="preserve">We prepare a draft LS attached to this paper. </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Reply to the RAN2 LS [1] using our previous conclusions captured in the WF [2].</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R4-2115358</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eastAsia"/>
          <w:lang w:val="en-US" w:eastAsia="zh-CN"/>
        </w:rPr>
        <w:sectPr>
          <w:pgSz w:w="11907" w:h="16840"/>
          <w:pgMar w:top="1412" w:right="1140" w:bottom="1140" w:left="1140" w:header="680" w:footer="567" w:gutter="0"/>
          <w:cols w:space="708" w:num="1"/>
          <w:docGrid w:linePitch="360" w:charSpace="0"/>
        </w:sect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b/>
        </w:rPr>
        <w:t>reply LS on capability related assumptions for RedCap</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7</w:t>
      </w:r>
    </w:p>
    <w:p>
      <w:pPr>
        <w:spacing w:after="60"/>
        <w:ind w:left="1985" w:hanging="1985"/>
        <w:rPr>
          <w:bCs/>
        </w:rPr>
      </w:pPr>
      <w:r>
        <w:rPr>
          <w:b/>
        </w:rPr>
        <w:t>Work Item:</w:t>
      </w:r>
      <w:r>
        <w:rPr>
          <w:bCs/>
        </w:rPr>
        <w:tab/>
      </w:r>
      <w:r>
        <w:rPr>
          <w:rFonts w:hint="eastAsia"/>
          <w:bCs/>
        </w:rPr>
        <w:t>NR_redcap-Core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eastAsia="宋体"/>
          <w:bCs/>
          <w:lang w:val="en-US" w:eastAsia="zh-CN"/>
        </w:rPr>
        <w:t>2</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r>
        <w:rPr>
          <w:bCs/>
        </w:rPr>
        <w:t>RAN WG</w:t>
      </w:r>
      <w:r>
        <w:rPr>
          <w:rFonts w:hint="eastAsia" w:eastAsia="宋体"/>
          <w:bCs/>
          <w:lang w:val="en-US" w:eastAsia="zh-CN"/>
        </w:rPr>
        <w:t>1</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rFonts w:hint="default"/>
          <w:b/>
          <w:lang w:val="en-US"/>
        </w:rPr>
      </w:pPr>
      <w:r>
        <w:rPr>
          <w:b/>
        </w:rPr>
        <w:t xml:space="preserve">1. </w:t>
      </w:r>
      <w:r>
        <w:rPr>
          <w:rFonts w:hint="eastAsia"/>
          <w:b/>
          <w:lang w:val="en-US" w:eastAsia="zh-CN"/>
        </w:rPr>
        <w:t>Overall Description:</w:t>
      </w:r>
    </w:p>
    <w:p>
      <w:pPr>
        <w:jc w:val="both"/>
        <w:rPr>
          <w:rFonts w:hint="default" w:eastAsia="宋体"/>
          <w:sz w:val="22"/>
          <w:szCs w:val="22"/>
          <w:lang w:val="en-US" w:eastAsia="zh-CN"/>
        </w:rPr>
      </w:pPr>
      <w:r>
        <w:rPr>
          <w:rFonts w:hint="eastAsia" w:eastAsia="宋体"/>
          <w:sz w:val="22"/>
          <w:szCs w:val="22"/>
          <w:lang w:val="en-US" w:eastAsia="zh-CN"/>
        </w:rPr>
        <w:t>During RAN4 101-e, a LS from RAN2 [1] was received asking whether there are any Rel-15 and/or Rel-16 UE features or capabilities which should not be applicable for RedCap UEs.</w:t>
      </w:r>
    </w:p>
    <w:p>
      <w:pPr>
        <w:jc w:val="both"/>
        <w:rPr>
          <w:rFonts w:hint="eastAsia" w:eastAsia="宋体"/>
          <w:sz w:val="22"/>
          <w:szCs w:val="22"/>
          <w:lang w:val="en-US" w:eastAsia="zh-CN"/>
        </w:rPr>
      </w:pPr>
      <w:r>
        <w:rPr>
          <w:rFonts w:hint="eastAsia" w:eastAsia="宋体"/>
          <w:sz w:val="22"/>
          <w:szCs w:val="22"/>
          <w:lang w:val="en-US" w:eastAsia="zh-CN"/>
        </w:rPr>
        <w:t xml:space="preserve">It is RAN4 consensus that </w:t>
      </w:r>
    </w:p>
    <w:p>
      <w:pPr>
        <w:numPr>
          <w:ilvl w:val="0"/>
          <w:numId w:val="8"/>
        </w:numPr>
        <w:jc w:val="both"/>
        <w:rPr>
          <w:rFonts w:hint="default" w:eastAsia="宋体"/>
          <w:sz w:val="22"/>
          <w:szCs w:val="22"/>
          <w:lang w:val="en-US" w:eastAsia="zh-CN"/>
        </w:rPr>
      </w:pPr>
      <w:r>
        <w:rPr>
          <w:rFonts w:hint="default" w:eastAsia="宋体"/>
          <w:sz w:val="22"/>
          <w:szCs w:val="22"/>
          <w:lang w:val="en-US" w:eastAsia="zh-CN"/>
        </w:rPr>
        <w:t>V2X is not within the scope of RedCap WID.</w:t>
      </w:r>
    </w:p>
    <w:p>
      <w:pPr>
        <w:numPr>
          <w:ilvl w:val="0"/>
          <w:numId w:val="8"/>
        </w:numPr>
        <w:jc w:val="both"/>
        <w:rPr>
          <w:rFonts w:hint="default" w:eastAsia="宋体"/>
          <w:sz w:val="22"/>
          <w:szCs w:val="22"/>
          <w:lang w:val="en-US" w:eastAsia="zh-CN"/>
        </w:rPr>
      </w:pPr>
      <w:r>
        <w:rPr>
          <w:rFonts w:hint="default" w:eastAsia="宋体"/>
          <w:sz w:val="22"/>
          <w:szCs w:val="22"/>
          <w:lang w:val="en-US" w:eastAsia="zh-CN"/>
        </w:rPr>
        <w:t>When discussing possible combinations of Rel-16 features and RedCap, we should by default assume that the features are not applicable and then identify which features (such as R16 CSI-RS based L3 measurement, L1-SINR measurement, SFTD measurement, CGI reading, 2-step RACH, and PL-RS change, etc.) can be combined with RedCap case by case based on justification.</w:t>
      </w:r>
    </w:p>
    <w:p>
      <w:pPr>
        <w:numPr>
          <w:ilvl w:val="0"/>
          <w:numId w:val="0"/>
        </w:numPr>
        <w:rPr>
          <w:rFonts w:hint="default" w:cs="Times New Roman"/>
          <w:lang w:val="en-US" w:eastAsia="zh-CN"/>
        </w:rPr>
      </w:pPr>
    </w:p>
    <w:p>
      <w:pPr>
        <w:numPr>
          <w:ilvl w:val="0"/>
          <w:numId w:val="9"/>
        </w:numPr>
        <w:rPr>
          <w:b/>
        </w:rPr>
      </w:pPr>
      <w:r>
        <w:rPr>
          <w:b/>
        </w:rPr>
        <w:t>Actions:</w:t>
      </w:r>
    </w:p>
    <w:p>
      <w:pPr>
        <w:ind w:left="1985" w:hanging="1985"/>
        <w:rPr>
          <w:b/>
        </w:rPr>
      </w:pPr>
      <w:r>
        <w:rPr>
          <w:b/>
        </w:rPr>
        <w:t>To RAN WG</w:t>
      </w:r>
      <w:r>
        <w:rPr>
          <w:rFonts w:hint="eastAsia"/>
          <w:b/>
          <w:lang w:val="en-US" w:eastAsia="zh-CN"/>
        </w:rPr>
        <w:t>2</w:t>
      </w:r>
      <w:r>
        <w:rPr>
          <w:b/>
        </w:rPr>
        <w:t xml:space="preserve"> group.</w:t>
      </w:r>
    </w:p>
    <w:p>
      <w:pPr>
        <w:ind w:left="993" w:hanging="993"/>
        <w:rPr>
          <w:rFonts w:hint="default"/>
          <w:lang w:val="en-US"/>
        </w:rPr>
      </w:pPr>
      <w:r>
        <w:rPr>
          <w:b/>
        </w:rPr>
        <w:t xml:space="preserve">ACTION: </w:t>
      </w:r>
      <w:r>
        <w:rPr>
          <w:b/>
        </w:rPr>
        <w:tab/>
      </w:r>
      <w:r>
        <w:rPr>
          <w:rFonts w:hint="eastAsia"/>
          <w:b/>
        </w:rPr>
        <w:t xml:space="preserve">RAN4 respectfully asks RAN2 to take the above </w:t>
      </w:r>
      <w:r>
        <w:rPr>
          <w:rFonts w:hint="eastAsia" w:eastAsia="宋体"/>
          <w:b/>
          <w:lang w:val="en-US" w:eastAsia="zh-CN"/>
        </w:rPr>
        <w:t xml:space="preserve">information </w:t>
      </w:r>
      <w:r>
        <w:rPr>
          <w:rFonts w:hint="eastAsia"/>
          <w:b/>
        </w:rPr>
        <w:t>into consideration in the future work.</w:t>
      </w:r>
    </w:p>
    <w:p>
      <w:pPr>
        <w:rPr>
          <w:rFonts w:hint="eastAsia"/>
          <w:b/>
          <w:lang w:val="en-US" w:eastAsia="zh-CN"/>
        </w:rPr>
      </w:pPr>
    </w:p>
    <w:p>
      <w:pPr>
        <w:numPr>
          <w:ilvl w:val="0"/>
          <w:numId w:val="10"/>
        </w:numPr>
        <w:ind w:left="0" w:leftChars="0" w:firstLine="0" w:firstLineChars="0"/>
        <w:rPr>
          <w:b/>
          <w:bCs/>
        </w:rPr>
      </w:pPr>
      <w:r>
        <w:rPr>
          <w:rFonts w:hint="eastAsia" w:eastAsia="宋体"/>
          <w:b/>
          <w:bCs/>
          <w:lang w:val="en-US" w:eastAsia="zh-CN"/>
        </w:rPr>
        <w:t>Reference:</w:t>
      </w:r>
    </w:p>
    <w:p>
      <w:pPr>
        <w:numPr>
          <w:ilvl w:val="0"/>
          <w:numId w:val="11"/>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0"/>
        </w:numPr>
        <w:ind w:leftChars="0"/>
        <w:rPr>
          <w:rFonts w:hint="eastAsia" w:eastAsia="宋体"/>
          <w:lang w:val="en-US" w:eastAsia="zh-CN"/>
        </w:rPr>
      </w:pPr>
    </w:p>
    <w:p>
      <w:pPr>
        <w:numPr>
          <w:ilvl w:val="0"/>
          <w:numId w:val="10"/>
        </w:numPr>
        <w:ind w:left="0" w:leftChars="0" w:firstLine="0" w:firstLineChars="0"/>
      </w:pPr>
      <w:r>
        <w:rPr>
          <w:b/>
        </w:rPr>
        <w:t>Date of Next TSG-RAN WG4 Meetings:</w:t>
      </w:r>
    </w:p>
    <w:p>
      <w:pPr>
        <w:tabs>
          <w:tab w:val="left" w:pos="5103"/>
        </w:tabs>
        <w:ind w:left="2268" w:hanging="2268"/>
        <w:rPr>
          <w:rFonts w:hint="eastAsia"/>
          <w:lang w:val="en-US" w:eastAsia="zh-CN"/>
        </w:rPr>
      </w:pPr>
      <w:r>
        <w:t>TSG-RAN4 #</w:t>
      </w:r>
      <w:r>
        <w:rPr>
          <w:rFonts w:hint="eastAsia" w:eastAsia="宋体"/>
          <w:lang w:val="en-US" w:eastAsia="zh-CN"/>
        </w:rPr>
        <w:t>101</w:t>
      </w:r>
      <w:r>
        <w:rPr>
          <w:rFonts w:hint="eastAsia"/>
          <w:lang w:val="en-US" w:eastAsia="zh-CN"/>
        </w:rPr>
        <w:t>-bis-e</w:t>
      </w:r>
      <w:r>
        <w:tab/>
      </w:r>
      <w:r>
        <w:tab/>
      </w:r>
      <w:r>
        <w:tab/>
      </w:r>
      <w:r>
        <w:rPr>
          <w:rFonts w:hint="eastAsia"/>
          <w:lang w:val="en-US" w:eastAsia="zh-CN"/>
        </w:rPr>
        <w:t>17</w:t>
      </w:r>
      <w:r>
        <w:rPr>
          <w:vertAlign w:val="superscript"/>
        </w:rPr>
        <w:t>th</w:t>
      </w:r>
      <w:r>
        <w:t xml:space="preserve"> – </w:t>
      </w:r>
      <w:r>
        <w:rPr>
          <w:rFonts w:hint="eastAsia"/>
          <w:lang w:val="en-US" w:eastAsia="zh-CN"/>
        </w:rPr>
        <w:t>25</w:t>
      </w:r>
      <w:r>
        <w:rPr>
          <w:vertAlign w:val="superscript"/>
        </w:rPr>
        <w:t>th</w:t>
      </w:r>
      <w:r>
        <w:t xml:space="preserve"> </w:t>
      </w:r>
      <w:r>
        <w:rPr>
          <w:rFonts w:hint="eastAsia"/>
          <w:lang w:val="en-US" w:eastAsia="zh-CN"/>
        </w:rPr>
        <w:t>January</w:t>
      </w:r>
      <w:r>
        <w:t xml:space="preserve"> 202</w:t>
      </w:r>
      <w:r>
        <w:rPr>
          <w:rFonts w:hint="eastAsia" w:eastAsia="宋体"/>
          <w:lang w:val="en-US" w:eastAsia="zh-CN"/>
        </w:rPr>
        <w:t>2</w:t>
      </w:r>
      <w:r>
        <w:t xml:space="preserve"> </w:t>
      </w:r>
      <w:r>
        <w:tab/>
      </w:r>
      <w:r>
        <w:tab/>
      </w:r>
      <w:r>
        <w:rPr>
          <w:rFonts w:hint="eastAsia"/>
          <w:lang w:val="en-US" w:eastAsia="zh-CN"/>
        </w:rPr>
        <w:t>Online</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r>
        <w:t>TSG-RAN4 #</w:t>
      </w:r>
      <w:r>
        <w:rPr>
          <w:rFonts w:hint="eastAsia" w:eastAsia="宋体"/>
          <w:lang w:val="en-US" w:eastAsia="zh-CN"/>
        </w:rPr>
        <w:t>102</w:t>
      </w:r>
      <w:r>
        <w:rPr>
          <w:rFonts w:hint="eastAsia"/>
          <w:lang w:val="en-US" w:eastAsia="zh-CN"/>
        </w:rPr>
        <w:t>-e</w:t>
      </w:r>
      <w:r>
        <w:tab/>
      </w:r>
      <w:r>
        <w:tab/>
      </w:r>
      <w:r>
        <w:tab/>
      </w:r>
      <w:r>
        <w:rPr>
          <w:rFonts w:hint="eastAsia" w:eastAsia="宋体"/>
          <w:lang w:val="en-US" w:eastAsia="zh-CN"/>
        </w:rPr>
        <w:tab/>
      </w:r>
      <w:r>
        <w:rPr>
          <w:rFonts w:hint="eastAsia" w:eastAsia="宋体"/>
          <w:lang w:val="en-US" w:eastAsia="zh-CN"/>
        </w:rPr>
        <w:tab/>
      </w:r>
      <w:r>
        <w:rPr>
          <w:rFonts w:hint="eastAsia" w:eastAsia="宋体"/>
          <w:lang w:val="en-US" w:eastAsia="zh-CN"/>
        </w:rPr>
        <w:t>21</w:t>
      </w:r>
      <w:r>
        <w:rPr>
          <w:vertAlign w:val="superscript"/>
        </w:rPr>
        <w:t>th</w:t>
      </w:r>
      <w:r>
        <w:rPr>
          <w:rFonts w:hint="eastAsia"/>
          <w:vertAlign w:val="superscript"/>
          <w:lang w:val="en-US" w:eastAsia="zh-CN"/>
        </w:rPr>
        <w:t xml:space="preserve"> </w:t>
      </w:r>
      <w:r>
        <w:rPr>
          <w:rFonts w:hint="eastAsia"/>
          <w:vertAlign w:val="baseline"/>
          <w:lang w:val="en-US" w:eastAsia="zh-CN"/>
        </w:rPr>
        <w:t>February</w:t>
      </w:r>
      <w:r>
        <w:t xml:space="preserve">– </w:t>
      </w:r>
      <w:r>
        <w:rPr>
          <w:rFonts w:hint="eastAsia"/>
          <w:lang w:val="en-US" w:eastAsia="zh-CN"/>
        </w:rPr>
        <w:t>3</w:t>
      </w:r>
      <w:r>
        <w:rPr>
          <w:rFonts w:hint="eastAsia" w:eastAsia="宋体"/>
          <w:vertAlign w:val="superscript"/>
          <w:lang w:val="en-US" w:eastAsia="zh-CN"/>
        </w:rPr>
        <w:t>rd</w:t>
      </w:r>
      <w:r>
        <w:t xml:space="preserve"> </w:t>
      </w:r>
      <w:r>
        <w:rPr>
          <w:rFonts w:hint="eastAsia"/>
          <w:vertAlign w:val="baseline"/>
          <w:lang w:val="en-US" w:eastAsia="zh-CN"/>
        </w:rPr>
        <w:t>March</w:t>
      </w:r>
      <w:r>
        <w:t xml:space="preserve"> 202</w:t>
      </w:r>
      <w:r>
        <w:rPr>
          <w:rFonts w:hint="eastAsia" w:eastAsia="宋体"/>
          <w:lang w:val="en-US" w:eastAsia="zh-CN"/>
        </w:rPr>
        <w:t>1</w:t>
      </w:r>
      <w:r>
        <w:t xml:space="preserve">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E8302"/>
    <w:multiLevelType w:val="multilevel"/>
    <w:tmpl w:val="A65E830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D77897"/>
    <w:multiLevelType w:val="singleLevel"/>
    <w:tmpl w:val="46D77897"/>
    <w:lvl w:ilvl="0" w:tentative="0">
      <w:start w:val="2"/>
      <w:numFmt w:val="decimal"/>
      <w:suff w:val="space"/>
      <w:lvlText w:val="%1."/>
      <w:lvlJc w:val="left"/>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7583F86"/>
    <w:multiLevelType w:val="singleLevel"/>
    <w:tmpl w:val="77583F86"/>
    <w:lvl w:ilvl="0" w:tentative="0">
      <w:start w:val="1"/>
      <w:numFmt w:val="decimal"/>
      <w:suff w:val="space"/>
      <w:lvlText w:val="%1)"/>
      <w:lvlJc w:val="left"/>
    </w:lvl>
  </w:abstractNum>
  <w:abstractNum w:abstractNumId="10">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5"/>
  </w:num>
  <w:num w:numId="3">
    <w:abstractNumId w:val="4"/>
  </w:num>
  <w:num w:numId="4">
    <w:abstractNumId w:val="8"/>
  </w:num>
  <w:num w:numId="5">
    <w:abstractNumId w:val="6"/>
  </w:num>
  <w:num w:numId="6">
    <w:abstractNumId w:val="7"/>
  </w:num>
  <w:num w:numId="7">
    <w:abstractNumId w:val="1"/>
  </w:num>
  <w:num w:numId="8">
    <w:abstractNumId w:val="9"/>
  </w:num>
  <w:num w:numId="9">
    <w:abstractNumId w:val="3"/>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535B28"/>
    <w:rsid w:val="099F556C"/>
    <w:rsid w:val="09AC0546"/>
    <w:rsid w:val="09C640C3"/>
    <w:rsid w:val="0A5763D4"/>
    <w:rsid w:val="0A7BF868"/>
    <w:rsid w:val="0A917BF4"/>
    <w:rsid w:val="0A9573F8"/>
    <w:rsid w:val="0B7322DC"/>
    <w:rsid w:val="0BB77882"/>
    <w:rsid w:val="0C2A1653"/>
    <w:rsid w:val="0C3C5307"/>
    <w:rsid w:val="0C56263C"/>
    <w:rsid w:val="0C5E2B8A"/>
    <w:rsid w:val="0CFD1C3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D36053"/>
    <w:rsid w:val="13F75352"/>
    <w:rsid w:val="13FA5349"/>
    <w:rsid w:val="141E7377"/>
    <w:rsid w:val="1480544B"/>
    <w:rsid w:val="14A25B1A"/>
    <w:rsid w:val="14B36B91"/>
    <w:rsid w:val="14DE3D1B"/>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2C2175"/>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1B1E03"/>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1689B"/>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